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E7" w:rsidRPr="004F291E" w:rsidRDefault="005770E7" w:rsidP="005770E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5770E7" w:rsidRPr="00DA566E" w:rsidTr="00F710EA">
        <w:tc>
          <w:tcPr>
            <w:tcW w:w="1365" w:type="dxa"/>
            <w:shd w:val="clear" w:color="auto" w:fill="DBE5F1" w:themeFill="accent1" w:themeFillTint="3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770E7" w:rsidRPr="00DA566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770E7" w:rsidRPr="00DA566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Teme: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Od čestice i stanice do biosfere</w:t>
            </w:r>
          </w:p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Zaštita od hladnoće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5770E7" w:rsidRPr="00914783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 xml:space="preserve">42. </w:t>
            </w:r>
          </w:p>
        </w:tc>
      </w:tr>
      <w:tr w:rsidR="005770E7" w:rsidRPr="00DA566E" w:rsidTr="00F710EA">
        <w:tc>
          <w:tcPr>
            <w:tcW w:w="2640" w:type="dxa"/>
            <w:gridSpan w:val="3"/>
            <w:shd w:val="clear" w:color="auto" w:fill="D9E2F3"/>
          </w:tcPr>
          <w:p w:rsidR="005770E7" w:rsidRPr="00DA566E" w:rsidRDefault="005770E7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5770E7" w:rsidRPr="00DA566E" w:rsidRDefault="005770E7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</w:rPr>
              <w:t>Pisana provjera znanja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5770E7" w:rsidRPr="00914783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5770E7" w:rsidRPr="00DA566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5770E7" w:rsidRPr="00DA566E" w:rsidTr="00F710EA">
        <w:tc>
          <w:tcPr>
            <w:tcW w:w="9510" w:type="dxa"/>
            <w:gridSpan w:val="10"/>
          </w:tcPr>
          <w:p w:rsidR="005770E7" w:rsidRPr="00914783" w:rsidRDefault="005770E7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>OŠ PRI A.6.1.Učenik objašnjava organiziranost prirode uspoređujući cjelinu i sastavne dijelove</w:t>
            </w:r>
          </w:p>
          <w:p w:rsidR="005770E7" w:rsidRPr="00914783" w:rsidRDefault="005770E7" w:rsidP="005770E7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prepoznaje organiziranost prirode od sitnih čestica do svemira istraživanjem i promatranjem svijeta oko sebe</w:t>
            </w:r>
          </w:p>
          <w:p w:rsidR="005770E7" w:rsidRPr="00914783" w:rsidRDefault="005770E7" w:rsidP="005770E7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razlikuje odnose između različitih organizacijskih razina</w:t>
            </w:r>
          </w:p>
          <w:p w:rsidR="005770E7" w:rsidRPr="00914783" w:rsidRDefault="005770E7" w:rsidP="005770E7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prepoznaje osnovni plan građe ljudskoga organizma i položaj najvažnijih organa</w:t>
            </w:r>
          </w:p>
          <w:p w:rsidR="005770E7" w:rsidRPr="00914783" w:rsidRDefault="005770E7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5770E7" w:rsidRPr="00914783" w:rsidRDefault="005770E7" w:rsidP="005770E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5770E7" w:rsidRPr="00914783" w:rsidRDefault="005770E7" w:rsidP="005770E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5770E7" w:rsidRPr="00914783" w:rsidRDefault="005770E7" w:rsidP="005770E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objašnjava važnost međusobnih odnosa živih bića (iste vrste i različitih vrsta) koja dijele zajedničko stanište</w:t>
            </w:r>
          </w:p>
          <w:p w:rsidR="005770E7" w:rsidRPr="00914783" w:rsidRDefault="005770E7" w:rsidP="005770E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raspravlja o nadmetanju živih bića (iste vrste i različitih vrsta) pri zadovoljavanju životnih potreba</w:t>
            </w:r>
          </w:p>
          <w:p w:rsidR="005770E7" w:rsidRPr="00914783" w:rsidRDefault="005770E7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5770E7" w:rsidRPr="00914783" w:rsidRDefault="005770E7" w:rsidP="005770E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objašnjava da u prirodi postoje pojave koje se ponavljaju ciklički</w:t>
            </w:r>
          </w:p>
          <w:p w:rsidR="005770E7" w:rsidRPr="00914783" w:rsidRDefault="005770E7" w:rsidP="005770E7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 xml:space="preserve"> istražuje utjecaj ciklusa u prirodi na ponašanje živih bića</w:t>
            </w:r>
          </w:p>
          <w:p w:rsidR="005770E7" w:rsidRPr="00914783" w:rsidRDefault="005770E7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i neživim sustavima </w:t>
            </w:r>
          </w:p>
          <w:p w:rsidR="005770E7" w:rsidRPr="00914783" w:rsidRDefault="005770E7" w:rsidP="005770E7">
            <w:pPr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5770E7" w:rsidRPr="00914783" w:rsidRDefault="005770E7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5770E7" w:rsidRPr="00914783" w:rsidRDefault="005770E7" w:rsidP="005770E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5770E7" w:rsidRPr="00914783" w:rsidRDefault="005770E7" w:rsidP="005770E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5770E7" w:rsidRPr="00914783" w:rsidRDefault="005770E7" w:rsidP="005770E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5770E7" w:rsidRPr="00914783" w:rsidRDefault="005770E7" w:rsidP="005770E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5770E7" w:rsidRPr="00914783" w:rsidRDefault="005770E7" w:rsidP="005770E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5770E7" w:rsidRPr="00914783" w:rsidRDefault="005770E7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4783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5770E7" w:rsidRPr="00914783" w:rsidRDefault="005770E7" w:rsidP="005770E7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14783">
              <w:rPr>
                <w:rFonts w:ascii="Times New Roman" w:eastAsia="Times New Roman" w:hAnsi="Times New Roman" w:cs="Times New Roman"/>
              </w:rPr>
              <w:lastRenderedPageBreak/>
              <w:t>prepoznaje da znanstvene teorije objašnjavaju prirodne pojave i procese na temelju činjenica koje su prošle brojne provjere</w:t>
            </w:r>
          </w:p>
          <w:p w:rsidR="005770E7" w:rsidRPr="00914783" w:rsidRDefault="005770E7" w:rsidP="005770E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  <w:rPr>
                <w:sz w:val="22"/>
                <w:szCs w:val="22"/>
              </w:rPr>
            </w:pPr>
            <w:r w:rsidRPr="00914783">
              <w:rPr>
                <w:sz w:val="22"/>
                <w:szCs w:val="22"/>
              </w:rPr>
              <w:t>opisuje na povijesnom primjeru da se znanstvene teorije mogu mijenjati u svjetlu novih činjenica</w:t>
            </w:r>
          </w:p>
          <w:p w:rsidR="005770E7" w:rsidRPr="00DA566E" w:rsidRDefault="005770E7" w:rsidP="005770E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textAlignment w:val="baseline"/>
            </w:pPr>
            <w:r w:rsidRPr="00914783">
              <w:rPr>
                <w:sz w:val="22"/>
                <w:szCs w:val="22"/>
              </w:rPr>
              <w:t>objašnjava odnos znanosti, tehnologije i društvenoga napretka</w:t>
            </w:r>
          </w:p>
        </w:tc>
      </w:tr>
      <w:tr w:rsidR="005770E7" w:rsidRPr="00DA566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DA566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A566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770E7" w:rsidRPr="00DA566E" w:rsidTr="00F710EA">
        <w:tc>
          <w:tcPr>
            <w:tcW w:w="9510" w:type="dxa"/>
            <w:gridSpan w:val="10"/>
          </w:tcPr>
          <w:sdt>
            <w:sdtPr>
              <w:rPr>
                <w:rFonts w:ascii="Times New Roman" w:hAnsi="Times New Roman" w:cs="Times New Roman"/>
              </w:rPr>
              <w:tag w:val="goog_rdk_90"/>
              <w:id w:val="7609854"/>
            </w:sdtPr>
            <w:sdtContent>
              <w:p w:rsidR="005770E7" w:rsidRPr="00DA566E" w:rsidRDefault="005770E7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</w:rPr>
                  <w:t xml:space="preserve"> A.2.</w:t>
                </w:r>
                <w:r>
                  <w:rPr>
                    <w:rFonts w:ascii="Times New Roman" w:eastAsia="Times New Roman" w:hAnsi="Times New Roman" w:cs="Times New Roman"/>
                  </w:rPr>
                  <w:t>2.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 xml:space="preserve"> Uočava da u prirodi postoji međudjelovanje i međuovisnost.</w:t>
                </w:r>
              </w:p>
              <w:p w:rsidR="005770E7" w:rsidRPr="00DA566E" w:rsidRDefault="005770E7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>Zdravlje: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</w:rPr>
                  <w:t>zdr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</w:rPr>
                  <w:t xml:space="preserve"> A.3.1.A, A.3.2. A,B,C,D, A.3.3.; 2.D, B.3.1.B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2"/>
              <w:id w:val="7609855"/>
            </w:sdtPr>
            <w:sdtContent>
              <w:p w:rsidR="005770E7" w:rsidRPr="00DA566E" w:rsidRDefault="005770E7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3"/>
              <w:id w:val="7609856"/>
            </w:sdtPr>
            <w:sdtContent>
              <w:p w:rsidR="005770E7" w:rsidRPr="00DA566E" w:rsidRDefault="005770E7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4"/>
              <w:id w:val="7609857"/>
            </w:sdtPr>
            <w:sdtContent>
              <w:p w:rsidR="005770E7" w:rsidRPr="00DA566E" w:rsidRDefault="005770E7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5"/>
              <w:id w:val="7609858"/>
            </w:sdtPr>
            <w:sdtContent>
              <w:p w:rsidR="005770E7" w:rsidRPr="00DA566E" w:rsidRDefault="005770E7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 w:rsidRPr="00DA566E"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 w:rsidRPr="00DA566E"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6"/>
              <w:id w:val="7609859"/>
            </w:sdtPr>
            <w:sdtContent>
              <w:p w:rsidR="005770E7" w:rsidRPr="00DA566E" w:rsidRDefault="005770E7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7"/>
              <w:id w:val="7609860"/>
            </w:sdtPr>
            <w:sdtContent>
              <w:p w:rsidR="005770E7" w:rsidRPr="00DA566E" w:rsidRDefault="005770E7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DA566E"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 w:rsidRPr="00DA566E"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</w:tc>
      </w:tr>
      <w:tr w:rsidR="005770E7" w:rsidRPr="00DA566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5770E7" w:rsidRPr="00DA566E" w:rsidRDefault="005770E7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DA566E">
              <w:rPr>
                <w:rFonts w:ascii="Times New Roman" w:eastAsia="Times New Roman" w:hAnsi="Times New Roman" w:cs="Times New Roman"/>
                <w:color w:val="231F20"/>
              </w:rPr>
              <w:t>Ključni pojmovi iz tematskih cjelina Od čestice i stanice do biosfere i Zaštita od hladnoće</w:t>
            </w:r>
          </w:p>
        </w:tc>
      </w:tr>
      <w:tr w:rsidR="005770E7" w:rsidRPr="00DA566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5770E7" w:rsidRPr="00DA566E" w:rsidRDefault="005770E7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Pisanu provjeru znanja</w:t>
            </w:r>
          </w:p>
        </w:tc>
      </w:tr>
      <w:tr w:rsidR="005770E7" w:rsidRPr="00DA566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41. sat</w:t>
            </w:r>
          </w:p>
        </w:tc>
      </w:tr>
      <w:tr w:rsidR="005770E7" w:rsidRPr="00DA566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5770E7" w:rsidRPr="00404D5C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5770E7" w:rsidRPr="00404D5C" w:rsidRDefault="005770E7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5770E7" w:rsidRPr="00404D5C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5770E7" w:rsidRPr="00DA566E" w:rsidTr="00F710EA">
        <w:tc>
          <w:tcPr>
            <w:tcW w:w="1929" w:type="dxa"/>
            <w:gridSpan w:val="2"/>
            <w:shd w:val="clear" w:color="auto" w:fill="auto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</w:rPr>
              <w:t>Svi ishodi na razini obuhvaćene dvije tematske cjeline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770E7" w:rsidRPr="00DA566E" w:rsidRDefault="005770E7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</w:rPr>
            </w:pPr>
            <w:r w:rsidRPr="00D93DF3">
              <w:rPr>
                <w:rFonts w:ascii="Times New Roman" w:eastAsia="Times New Roman" w:hAnsi="Times New Roman" w:cs="Times New Roman"/>
                <w:color w:val="000000"/>
              </w:rPr>
              <w:t>- rješavaju pisanu provjeru znanja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 3. i 4. teme</w:t>
            </w:r>
            <w:r w:rsidRPr="00DA566E"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</w:rPr>
              <w:t xml:space="preserve"> </w:t>
            </w:r>
          </w:p>
          <w:p w:rsidR="005770E7" w:rsidRPr="00DA566E" w:rsidRDefault="005770E7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</w:rPr>
            </w:pPr>
            <w:r w:rsidRPr="007705A1">
              <w:rPr>
                <w:rFonts w:ascii="Times New Roman" w:eastAsia="Times New Roman" w:hAnsi="Times New Roman" w:cs="Times New Roman"/>
                <w:i/>
              </w:rPr>
              <w:t>Nakon kvalitetno provedenog formativnog vrednovanja (vrednovanje za učenje i vrednovanje kao učenje) učenici pišu pisanu provjeru znanja (vrednovanje naučenog)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770E7" w:rsidRDefault="005770E7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 pisana provjera znanja</w:t>
            </w:r>
          </w:p>
          <w:p w:rsidR="005770E7" w:rsidRPr="00DA566E" w:rsidRDefault="005770E7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Priroda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– zadatci za vrednovanje znanja iz prirode 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šestom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razredu autoric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Vitković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color w:val="000000"/>
              </w:rPr>
              <w:t xml:space="preserve"> (Školska knjiga)</w:t>
            </w:r>
          </w:p>
        </w:tc>
      </w:tr>
      <w:tr w:rsidR="005770E7" w:rsidRPr="00DA566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5770E7" w:rsidRPr="00DA566E" w:rsidRDefault="005770E7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5770E7" w:rsidRPr="00DA566E" w:rsidTr="00F710EA">
        <w:tc>
          <w:tcPr>
            <w:tcW w:w="2640" w:type="dxa"/>
            <w:gridSpan w:val="3"/>
            <w:shd w:val="clear" w:color="auto" w:fill="DEEBF6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472C4"/>
              </w:rPr>
            </w:pPr>
            <w:r w:rsidRPr="00DA566E">
              <w:rPr>
                <w:rFonts w:ascii="Times New Roman" w:eastAsia="Times New Roman" w:hAnsi="Times New Roman" w:cs="Times New Roman"/>
              </w:rPr>
              <w:t>Ako učenici pišu pisanu provjeru znanja, ona treba biti oblikovana prema specifičnoj teškoći koju učenica/učenik ima. Ispit treba sastaviti uz pomoć stručne službe škole ili procijeniti treba li ga dotični učenik uopće pisati, nakon što je sustavno formativno vrednovan.</w:t>
            </w:r>
          </w:p>
        </w:tc>
      </w:tr>
      <w:tr w:rsidR="005770E7" w:rsidRPr="00DA566E" w:rsidTr="00F710EA">
        <w:tc>
          <w:tcPr>
            <w:tcW w:w="2640" w:type="dxa"/>
            <w:gridSpan w:val="3"/>
            <w:shd w:val="clear" w:color="auto" w:fill="DEEBF6"/>
          </w:tcPr>
          <w:p w:rsidR="005770E7" w:rsidRPr="00DA566E" w:rsidRDefault="005770E7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A566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5770E7" w:rsidRPr="00DA566E" w:rsidRDefault="005770E7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A566E">
              <w:rPr>
                <w:rFonts w:ascii="Times New Roman" w:eastAsia="Times New Roman" w:hAnsi="Times New Roman" w:cs="Times New Roman"/>
              </w:rPr>
              <w:t>Učiteljica/ učitelj procjenjuje treba li učenik koji je obavio sve postavljene zadatke pisati provjeru znanja ili ga se i bez toga može ocijeniti.</w:t>
            </w:r>
          </w:p>
        </w:tc>
      </w:tr>
    </w:tbl>
    <w:p w:rsidR="000210F5" w:rsidRDefault="005770E7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ACE7E94"/>
    <w:multiLevelType w:val="multilevel"/>
    <w:tmpl w:val="99003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1B978AB"/>
    <w:multiLevelType w:val="multilevel"/>
    <w:tmpl w:val="0E227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D252516"/>
    <w:multiLevelType w:val="multilevel"/>
    <w:tmpl w:val="FF365E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0E7"/>
    <w:rsid w:val="005770E7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E7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70E7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577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E7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2020-08-11T09:31:00Z</dcterms:created>
  <dcterms:modified xsi:type="dcterms:W3CDTF">2020-08-11T09:32:00Z</dcterms:modified>
</cp:coreProperties>
</file>